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2DE27" w14:textId="1752685E" w:rsidR="009C268C" w:rsidRPr="00621767" w:rsidRDefault="009C268C" w:rsidP="00B216B9">
      <w:pPr>
        <w:spacing w:line="360" w:lineRule="auto"/>
        <w:ind w:right="1559"/>
        <w:jc w:val="both"/>
        <w:rPr>
          <w:rFonts w:ascii="Arial" w:hAnsi="Arial" w:cs="Arial"/>
          <w:b/>
          <w:bCs/>
          <w:sz w:val="24"/>
          <w:szCs w:val="24"/>
        </w:rPr>
      </w:pPr>
      <w:r w:rsidRPr="00443E7D">
        <w:rPr>
          <w:rFonts w:ascii="Arial" w:hAnsi="Arial" w:cs="Arial"/>
          <w:b/>
          <w:bCs/>
          <w:sz w:val="24"/>
          <w:szCs w:val="24"/>
        </w:rPr>
        <w:t xml:space="preserve">KRAIBURG TPE Unveils </w:t>
      </w:r>
      <w:r w:rsidR="00082E16" w:rsidRPr="00443E7D">
        <w:rPr>
          <w:rFonts w:ascii="Arial" w:hAnsi="Arial" w:cs="Arial"/>
          <w:b/>
          <w:bCs/>
          <w:sz w:val="24"/>
          <w:szCs w:val="24"/>
        </w:rPr>
        <w:t>F</w:t>
      </w:r>
      <w:r w:rsidR="00E5360F" w:rsidRPr="00443E7D">
        <w:rPr>
          <w:rFonts w:ascii="Arial" w:hAnsi="Arial" w:cs="Arial"/>
          <w:b/>
          <w:bCs/>
          <w:sz w:val="24"/>
          <w:szCs w:val="24"/>
        </w:rPr>
        <w:t>orward-</w:t>
      </w:r>
      <w:r w:rsidR="001B45E1">
        <w:rPr>
          <w:rFonts w:ascii="Arial" w:hAnsi="Arial" w:cs="Arial" w:hint="eastAsia"/>
          <w:b/>
          <w:bCs/>
          <w:sz w:val="24"/>
          <w:szCs w:val="24"/>
          <w:lang w:eastAsia="zh-CN"/>
        </w:rPr>
        <w:t>L</w:t>
      </w:r>
      <w:r w:rsidR="00E5360F" w:rsidRPr="00443E7D">
        <w:rPr>
          <w:rFonts w:ascii="Arial" w:hAnsi="Arial" w:cs="Arial"/>
          <w:b/>
          <w:bCs/>
          <w:sz w:val="24"/>
          <w:szCs w:val="24"/>
        </w:rPr>
        <w:t>ooking</w:t>
      </w:r>
      <w:r w:rsidRPr="00443E7D">
        <w:rPr>
          <w:rFonts w:ascii="Arial" w:hAnsi="Arial" w:cs="Arial"/>
          <w:b/>
          <w:bCs/>
          <w:sz w:val="24"/>
          <w:szCs w:val="24"/>
        </w:rPr>
        <w:t xml:space="preserve"> TPE Materials for Eye </w:t>
      </w:r>
      <w:r w:rsidRPr="00621767">
        <w:rPr>
          <w:rFonts w:ascii="Arial" w:hAnsi="Arial" w:cs="Arial"/>
          <w:b/>
          <w:bCs/>
          <w:sz w:val="24"/>
          <w:szCs w:val="24"/>
        </w:rPr>
        <w:t>Glass Protectors</w:t>
      </w:r>
    </w:p>
    <w:p w14:paraId="2987D574" w14:textId="17842077" w:rsidR="009C268C" w:rsidRPr="00443E7D" w:rsidRDefault="00825958" w:rsidP="00B216B9">
      <w:pPr>
        <w:spacing w:line="360" w:lineRule="auto"/>
        <w:ind w:right="1559"/>
        <w:jc w:val="both"/>
        <w:rPr>
          <w:rFonts w:ascii="Arial" w:hAnsi="Arial" w:cs="Arial"/>
          <w:color w:val="000000" w:themeColor="text1"/>
          <w:sz w:val="20"/>
          <w:szCs w:val="20"/>
        </w:rPr>
      </w:pPr>
      <w:r w:rsidRPr="00621767">
        <w:rPr>
          <w:rFonts w:ascii="Arial" w:hAnsi="Arial" w:cs="Arial"/>
          <w:color w:val="000000" w:themeColor="text1"/>
          <w:sz w:val="20"/>
          <w:szCs w:val="20"/>
        </w:rPr>
        <w:t xml:space="preserve">KRAIBURG TPE, a </w:t>
      </w:r>
      <w:r w:rsidR="00621767" w:rsidRPr="00621767">
        <w:rPr>
          <w:rFonts w:ascii="Arial" w:hAnsi="Arial" w:cs="Arial"/>
          <w:color w:val="000000" w:themeColor="text1"/>
          <w:sz w:val="20"/>
          <w:szCs w:val="20"/>
        </w:rPr>
        <w:t>global thermoplastic</w:t>
      </w:r>
      <w:r w:rsidRPr="00621767">
        <w:rPr>
          <w:rFonts w:ascii="Arial" w:hAnsi="Arial" w:cs="Arial"/>
          <w:color w:val="000000" w:themeColor="text1"/>
          <w:sz w:val="20"/>
          <w:szCs w:val="20"/>
        </w:rPr>
        <w:t xml:space="preserve"> elastomer (TPE) manufactur</w:t>
      </w:r>
      <w:r w:rsidR="0078541C" w:rsidRPr="00621767">
        <w:rPr>
          <w:rFonts w:ascii="Arial" w:hAnsi="Arial" w:cs="Arial"/>
          <w:color w:val="000000" w:themeColor="text1"/>
          <w:sz w:val="20"/>
          <w:szCs w:val="20"/>
        </w:rPr>
        <w:t>er</w:t>
      </w:r>
      <w:r w:rsidRPr="00621767">
        <w:rPr>
          <w:rFonts w:ascii="Arial" w:hAnsi="Arial" w:cs="Arial"/>
          <w:color w:val="000000" w:themeColor="text1"/>
          <w:sz w:val="20"/>
          <w:szCs w:val="20"/>
        </w:rPr>
        <w:t>, is</w:t>
      </w:r>
      <w:r w:rsidRPr="00443E7D">
        <w:rPr>
          <w:rFonts w:ascii="Arial" w:hAnsi="Arial" w:cs="Arial"/>
          <w:color w:val="000000" w:themeColor="text1"/>
          <w:sz w:val="20"/>
          <w:szCs w:val="20"/>
        </w:rPr>
        <w:t xml:space="preserve"> excited to announce the launch of its cutting-edge TPE materials tailored for eye glass protectors, specifically for nose pads and ear hooks in the </w:t>
      </w:r>
      <w:r w:rsidR="00E5360F" w:rsidRPr="00443E7D">
        <w:rPr>
          <w:rFonts w:ascii="Arial" w:hAnsi="Arial" w:cs="Arial"/>
          <w:color w:val="000000" w:themeColor="text1"/>
          <w:sz w:val="20"/>
          <w:szCs w:val="20"/>
        </w:rPr>
        <w:t xml:space="preserve">eyewear </w:t>
      </w:r>
      <w:r w:rsidRPr="00443E7D">
        <w:rPr>
          <w:rFonts w:ascii="Arial" w:hAnsi="Arial" w:cs="Arial"/>
          <w:color w:val="000000" w:themeColor="text1"/>
          <w:sz w:val="20"/>
          <w:szCs w:val="20"/>
        </w:rPr>
        <w:t>industry.</w:t>
      </w:r>
      <w:r w:rsidRPr="00443E7D">
        <w:rPr>
          <w:rFonts w:ascii="Arial" w:hAnsi="Arial" w:cs="Arial" w:hint="eastAsia"/>
          <w:color w:val="000000" w:themeColor="text1"/>
          <w:sz w:val="20"/>
          <w:szCs w:val="20"/>
          <w:lang w:eastAsia="zh-CN"/>
        </w:rPr>
        <w:t xml:space="preserve"> </w:t>
      </w:r>
      <w:r w:rsidR="009C268C" w:rsidRPr="00443E7D">
        <w:rPr>
          <w:rFonts w:ascii="Arial" w:hAnsi="Arial" w:cs="Arial"/>
          <w:color w:val="000000" w:themeColor="text1"/>
          <w:sz w:val="20"/>
          <w:szCs w:val="20"/>
        </w:rPr>
        <w:t xml:space="preserve">These advanced materials are designed to offer superior protection, durability, and comfort, essential for the </w:t>
      </w:r>
      <w:r w:rsidR="009C268C" w:rsidRPr="0078541C">
        <w:rPr>
          <w:rFonts w:ascii="Arial" w:hAnsi="Arial" w:cs="Arial"/>
          <w:color w:val="000000" w:themeColor="text1"/>
          <w:sz w:val="20"/>
          <w:szCs w:val="20"/>
        </w:rPr>
        <w:t xml:space="preserve">demanding </w:t>
      </w:r>
      <w:r w:rsidR="00443E7D" w:rsidRPr="0078541C">
        <w:rPr>
          <w:rFonts w:ascii="Arial" w:hAnsi="Arial" w:cs="Arial"/>
          <w:color w:val="000000" w:themeColor="text1"/>
          <w:sz w:val="20"/>
          <w:szCs w:val="20"/>
        </w:rPr>
        <w:t>safety prerequisites</w:t>
      </w:r>
      <w:r w:rsidR="009C268C" w:rsidRPr="00443E7D">
        <w:rPr>
          <w:rFonts w:ascii="Arial" w:hAnsi="Arial" w:cs="Arial"/>
          <w:color w:val="000000" w:themeColor="text1"/>
          <w:sz w:val="20"/>
          <w:szCs w:val="20"/>
        </w:rPr>
        <w:t xml:space="preserve"> of medical professionals.</w:t>
      </w:r>
    </w:p>
    <w:p w14:paraId="6A387C68" w14:textId="77777777" w:rsidR="009C268C" w:rsidRPr="00443E7D" w:rsidRDefault="009C268C" w:rsidP="00B216B9">
      <w:pPr>
        <w:spacing w:line="360" w:lineRule="auto"/>
        <w:ind w:right="1559"/>
        <w:jc w:val="both"/>
        <w:rPr>
          <w:rFonts w:ascii="Arial" w:hAnsi="Arial" w:cs="Arial"/>
          <w:color w:val="000000" w:themeColor="text1"/>
          <w:sz w:val="6"/>
          <w:szCs w:val="6"/>
        </w:rPr>
      </w:pPr>
    </w:p>
    <w:p w14:paraId="5D1C318B" w14:textId="7691F146" w:rsidR="009C268C" w:rsidRPr="00443E7D" w:rsidRDefault="009C268C" w:rsidP="009C268C">
      <w:pPr>
        <w:spacing w:line="360" w:lineRule="auto"/>
        <w:ind w:right="1559"/>
        <w:jc w:val="both"/>
        <w:rPr>
          <w:rFonts w:ascii="Arial" w:hAnsi="Arial" w:cs="Arial"/>
          <w:color w:val="000000" w:themeColor="text1"/>
          <w:sz w:val="20"/>
          <w:szCs w:val="20"/>
        </w:rPr>
      </w:pPr>
      <w:r w:rsidRPr="00443E7D">
        <w:rPr>
          <w:rFonts w:ascii="Arial" w:hAnsi="Arial" w:cs="Arial"/>
          <w:color w:val="000000" w:themeColor="text1"/>
          <w:sz w:val="20"/>
          <w:szCs w:val="20"/>
        </w:rPr>
        <w:t>Eye glass protectors are crucial</w:t>
      </w:r>
      <w:r w:rsidR="00E5360F" w:rsidRPr="00443E7D">
        <w:rPr>
          <w:rFonts w:ascii="Arial" w:hAnsi="Arial" w:cs="Arial"/>
          <w:color w:val="000000" w:themeColor="text1"/>
          <w:sz w:val="20"/>
          <w:szCs w:val="20"/>
        </w:rPr>
        <w:t>, as they promote</w:t>
      </w:r>
      <w:r w:rsidRPr="00443E7D">
        <w:rPr>
          <w:rFonts w:ascii="Arial" w:hAnsi="Arial" w:cs="Arial"/>
          <w:color w:val="000000" w:themeColor="text1"/>
          <w:sz w:val="20"/>
          <w:szCs w:val="20"/>
        </w:rPr>
        <w:t xml:space="preserve"> clear vision and robust protection against potential hazards. KRAIBURG TPE’s innovative TPE compounds provide a reliable solution that enhances the performance and safety of </w:t>
      </w:r>
      <w:r w:rsidR="00E5360F" w:rsidRPr="00443E7D">
        <w:rPr>
          <w:rFonts w:ascii="Arial" w:hAnsi="Arial" w:cs="Arial"/>
          <w:color w:val="000000" w:themeColor="text1"/>
          <w:sz w:val="20"/>
          <w:szCs w:val="20"/>
        </w:rPr>
        <w:t>professional-grade</w:t>
      </w:r>
      <w:r w:rsidRPr="00443E7D">
        <w:rPr>
          <w:rFonts w:ascii="Arial" w:hAnsi="Arial" w:cs="Arial"/>
          <w:color w:val="000000" w:themeColor="text1"/>
          <w:sz w:val="20"/>
          <w:szCs w:val="20"/>
        </w:rPr>
        <w:t xml:space="preserve"> eyewear.</w:t>
      </w:r>
    </w:p>
    <w:p w14:paraId="1DA58EF8" w14:textId="77777777" w:rsidR="009C268C" w:rsidRPr="00443E7D" w:rsidRDefault="009C268C" w:rsidP="009C268C">
      <w:pPr>
        <w:spacing w:line="360" w:lineRule="auto"/>
        <w:ind w:right="1559"/>
        <w:jc w:val="both"/>
        <w:rPr>
          <w:rFonts w:ascii="Arial" w:hAnsi="Arial" w:cs="Arial"/>
          <w:color w:val="000000" w:themeColor="text1"/>
          <w:sz w:val="6"/>
          <w:szCs w:val="6"/>
        </w:rPr>
      </w:pPr>
    </w:p>
    <w:p w14:paraId="1B68EC51" w14:textId="5DC3A5D3" w:rsidR="009C268C" w:rsidRPr="001D3C07" w:rsidRDefault="009C268C" w:rsidP="009C268C">
      <w:pPr>
        <w:spacing w:line="360" w:lineRule="auto"/>
        <w:ind w:right="1559"/>
        <w:jc w:val="both"/>
        <w:rPr>
          <w:rFonts w:ascii="Arial" w:hAnsi="Arial" w:cs="Arial"/>
          <w:color w:val="000000" w:themeColor="text1"/>
          <w:sz w:val="20"/>
          <w:szCs w:val="20"/>
        </w:rPr>
      </w:pPr>
      <w:r w:rsidRPr="00443E7D">
        <w:rPr>
          <w:rFonts w:ascii="Arial" w:hAnsi="Arial" w:cs="Arial"/>
          <w:color w:val="000000" w:themeColor="text1"/>
          <w:sz w:val="20"/>
          <w:szCs w:val="20"/>
        </w:rPr>
        <w:t xml:space="preserve">Introducing KRAIBURG </w:t>
      </w:r>
      <w:r w:rsidRPr="001D3C07">
        <w:rPr>
          <w:rFonts w:ascii="Arial" w:hAnsi="Arial" w:cs="Arial"/>
          <w:color w:val="000000" w:themeColor="text1"/>
          <w:sz w:val="20"/>
          <w:szCs w:val="20"/>
        </w:rPr>
        <w:t xml:space="preserve">TPE's </w:t>
      </w:r>
      <w:hyperlink r:id="rId11" w:history="1">
        <w:r w:rsidRPr="001D3C07">
          <w:rPr>
            <w:rStyle w:val="Hyperlink"/>
            <w:rFonts w:ascii="Arial" w:hAnsi="Arial" w:cs="Arial"/>
            <w:sz w:val="20"/>
            <w:szCs w:val="20"/>
          </w:rPr>
          <w:t>THERMOLAST® H</w:t>
        </w:r>
      </w:hyperlink>
      <w:r w:rsidRPr="001D3C07">
        <w:rPr>
          <w:rFonts w:ascii="Arial" w:hAnsi="Arial" w:cs="Arial"/>
          <w:color w:val="000000" w:themeColor="text1"/>
          <w:sz w:val="20"/>
          <w:szCs w:val="20"/>
        </w:rPr>
        <w:t xml:space="preserve"> – HC/AP </w:t>
      </w:r>
      <w:r w:rsidR="00241A5C" w:rsidRPr="001D3C07">
        <w:rPr>
          <w:rFonts w:ascii="Arial" w:hAnsi="Arial" w:cs="Arial" w:hint="eastAsia"/>
          <w:color w:val="000000" w:themeColor="text1"/>
          <w:sz w:val="20"/>
          <w:szCs w:val="20"/>
          <w:lang w:eastAsia="zh-CN"/>
        </w:rPr>
        <w:t xml:space="preserve">and HC/AD1/AP </w:t>
      </w:r>
      <w:r w:rsidRPr="001D3C07">
        <w:rPr>
          <w:rFonts w:ascii="Arial" w:hAnsi="Arial" w:cs="Arial"/>
          <w:color w:val="000000" w:themeColor="text1"/>
          <w:sz w:val="20"/>
          <w:szCs w:val="20"/>
        </w:rPr>
        <w:t>series</w:t>
      </w:r>
      <w:r w:rsidR="00E5360F" w:rsidRPr="001D3C07">
        <w:rPr>
          <w:rFonts w:ascii="Arial" w:hAnsi="Arial" w:cs="Arial"/>
          <w:color w:val="000000" w:themeColor="text1"/>
          <w:sz w:val="20"/>
          <w:szCs w:val="20"/>
        </w:rPr>
        <w:t xml:space="preserve"> - </w:t>
      </w:r>
      <w:r w:rsidRPr="001D3C07">
        <w:rPr>
          <w:rFonts w:ascii="Arial" w:hAnsi="Arial" w:cs="Arial"/>
          <w:color w:val="000000" w:themeColor="text1"/>
          <w:sz w:val="20"/>
          <w:szCs w:val="20"/>
        </w:rPr>
        <w:t>innovative solution</w:t>
      </w:r>
      <w:r w:rsidR="00241A5C" w:rsidRPr="001D3C07">
        <w:rPr>
          <w:rFonts w:ascii="Arial" w:hAnsi="Arial" w:cs="Arial" w:hint="eastAsia"/>
          <w:color w:val="000000" w:themeColor="text1"/>
          <w:sz w:val="20"/>
          <w:szCs w:val="20"/>
          <w:lang w:eastAsia="zh-CN"/>
        </w:rPr>
        <w:t>s</w:t>
      </w:r>
      <w:r w:rsidRPr="001D3C07">
        <w:rPr>
          <w:rFonts w:ascii="Arial" w:hAnsi="Arial" w:cs="Arial"/>
          <w:color w:val="000000" w:themeColor="text1"/>
          <w:sz w:val="20"/>
          <w:szCs w:val="20"/>
        </w:rPr>
        <w:t xml:space="preserve"> tailored to meet the stringent requirements of the </w:t>
      </w:r>
      <w:hyperlink r:id="rId12" w:history="1">
        <w:r w:rsidRPr="001D3C07">
          <w:rPr>
            <w:rStyle w:val="Hyperlink"/>
            <w:rFonts w:ascii="Arial" w:hAnsi="Arial" w:cs="Arial"/>
            <w:sz w:val="20"/>
            <w:szCs w:val="20"/>
          </w:rPr>
          <w:t>medical sector</w:t>
        </w:r>
      </w:hyperlink>
      <w:r w:rsidRPr="001D3C07">
        <w:rPr>
          <w:rFonts w:ascii="Arial" w:hAnsi="Arial" w:cs="Arial"/>
          <w:color w:val="000000" w:themeColor="text1"/>
          <w:sz w:val="20"/>
          <w:szCs w:val="20"/>
        </w:rPr>
        <w:t xml:space="preserve">. These materials are engineered to deliver unparalleled benefits that align with the specific needs of </w:t>
      </w:r>
      <w:r w:rsidR="00E5360F" w:rsidRPr="001D3C07">
        <w:rPr>
          <w:rFonts w:ascii="Arial" w:hAnsi="Arial" w:cs="Arial"/>
          <w:color w:val="000000" w:themeColor="text1"/>
          <w:sz w:val="20"/>
          <w:szCs w:val="20"/>
        </w:rPr>
        <w:t>professional eyecare</w:t>
      </w:r>
      <w:r w:rsidRPr="001D3C07">
        <w:rPr>
          <w:rFonts w:ascii="Arial" w:hAnsi="Arial" w:cs="Arial"/>
          <w:color w:val="000000" w:themeColor="text1"/>
          <w:sz w:val="20"/>
          <w:szCs w:val="20"/>
        </w:rPr>
        <w:t xml:space="preserve"> applications.</w:t>
      </w:r>
    </w:p>
    <w:p w14:paraId="6C4AACD1" w14:textId="77777777" w:rsidR="00241A5C" w:rsidRPr="001D3C07" w:rsidRDefault="00241A5C" w:rsidP="009C268C">
      <w:pPr>
        <w:spacing w:line="360" w:lineRule="auto"/>
        <w:ind w:right="1559"/>
        <w:jc w:val="both"/>
        <w:rPr>
          <w:rFonts w:ascii="Arial" w:hAnsi="Arial" w:cs="Arial"/>
          <w:color w:val="000000" w:themeColor="text1"/>
          <w:sz w:val="6"/>
          <w:szCs w:val="6"/>
        </w:rPr>
      </w:pPr>
    </w:p>
    <w:p w14:paraId="2813AA7E" w14:textId="31DAFC79" w:rsidR="009C268C" w:rsidRPr="001D3C07" w:rsidRDefault="0078541C" w:rsidP="009C268C">
      <w:pPr>
        <w:spacing w:line="360" w:lineRule="auto"/>
        <w:ind w:right="1559"/>
        <w:jc w:val="both"/>
        <w:rPr>
          <w:rFonts w:ascii="Arial" w:hAnsi="Arial" w:cs="Arial"/>
          <w:b/>
          <w:bCs/>
          <w:color w:val="000000" w:themeColor="text1"/>
          <w:sz w:val="20"/>
          <w:szCs w:val="20"/>
        </w:rPr>
      </w:pPr>
      <w:r w:rsidRPr="001D3C07">
        <w:rPr>
          <w:rFonts w:ascii="Arial" w:hAnsi="Arial" w:cs="Arial"/>
          <w:b/>
          <w:bCs/>
          <w:color w:val="000000" w:themeColor="text1"/>
          <w:sz w:val="20"/>
          <w:szCs w:val="20"/>
        </w:rPr>
        <w:t xml:space="preserve">Key </w:t>
      </w:r>
      <w:r w:rsidR="009C268C" w:rsidRPr="001D3C07">
        <w:rPr>
          <w:rFonts w:ascii="Arial" w:hAnsi="Arial" w:cs="Arial"/>
          <w:b/>
          <w:bCs/>
          <w:color w:val="000000" w:themeColor="text1"/>
          <w:sz w:val="20"/>
          <w:szCs w:val="20"/>
        </w:rPr>
        <w:t>Material Advantages</w:t>
      </w:r>
    </w:p>
    <w:p w14:paraId="5AABA508" w14:textId="7A1A46E2" w:rsidR="00241A5C" w:rsidRPr="001D3C07" w:rsidRDefault="00241A5C" w:rsidP="00241A5C">
      <w:pPr>
        <w:pStyle w:val="ListParagraph"/>
        <w:numPr>
          <w:ilvl w:val="0"/>
          <w:numId w:val="22"/>
        </w:numPr>
        <w:spacing w:line="360" w:lineRule="auto"/>
        <w:ind w:right="1559"/>
        <w:jc w:val="both"/>
        <w:rPr>
          <w:rFonts w:ascii="Arial" w:hAnsi="Arial" w:cs="Arial"/>
          <w:color w:val="000000" w:themeColor="text1"/>
          <w:sz w:val="20"/>
          <w:szCs w:val="20"/>
        </w:rPr>
      </w:pPr>
      <w:r w:rsidRPr="001D3C07">
        <w:rPr>
          <w:rFonts w:ascii="Arial" w:eastAsiaTheme="minorEastAsia" w:hAnsi="Arial" w:cs="Arial" w:hint="eastAsia"/>
          <w:b/>
          <w:bCs/>
          <w:color w:val="000000" w:themeColor="text1"/>
          <w:sz w:val="20"/>
          <w:szCs w:val="20"/>
          <w:lang w:eastAsia="zh-CN"/>
        </w:rPr>
        <w:t xml:space="preserve">HC/AP Series </w:t>
      </w:r>
      <w:r w:rsidR="002F0930" w:rsidRPr="001D3C07">
        <w:rPr>
          <w:rFonts w:ascii="Arial" w:eastAsiaTheme="minorEastAsia" w:hAnsi="Arial" w:cs="Arial"/>
          <w:b/>
          <w:bCs/>
          <w:color w:val="000000" w:themeColor="text1"/>
          <w:sz w:val="20"/>
          <w:szCs w:val="20"/>
          <w:lang w:eastAsia="zh-CN"/>
        </w:rPr>
        <w:t>–</w:t>
      </w:r>
      <w:r w:rsidRPr="001D3C07">
        <w:rPr>
          <w:rFonts w:ascii="Arial" w:eastAsiaTheme="minorEastAsia" w:hAnsi="Arial" w:cs="Arial" w:hint="eastAsia"/>
          <w:b/>
          <w:bCs/>
          <w:color w:val="000000" w:themeColor="text1"/>
          <w:sz w:val="20"/>
          <w:szCs w:val="20"/>
          <w:lang w:eastAsia="zh-CN"/>
        </w:rPr>
        <w:t xml:space="preserve"> </w:t>
      </w:r>
      <w:r w:rsidR="009C268C" w:rsidRPr="001D3C07">
        <w:rPr>
          <w:rFonts w:ascii="Arial" w:hAnsi="Arial" w:cs="Arial"/>
          <w:b/>
          <w:bCs/>
          <w:color w:val="000000" w:themeColor="text1"/>
          <w:sz w:val="20"/>
          <w:szCs w:val="20"/>
        </w:rPr>
        <w:t>Adhesion to PP, PE</w:t>
      </w:r>
      <w:r w:rsidRPr="001D3C07">
        <w:rPr>
          <w:rFonts w:ascii="Arial" w:eastAsiaTheme="minorEastAsia" w:hAnsi="Arial" w:cs="Arial" w:hint="eastAsia"/>
          <w:b/>
          <w:bCs/>
          <w:color w:val="000000" w:themeColor="text1"/>
          <w:sz w:val="20"/>
          <w:szCs w:val="20"/>
          <w:lang w:eastAsia="zh-CN"/>
        </w:rPr>
        <w:t xml:space="preserve"> </w:t>
      </w:r>
    </w:p>
    <w:p w14:paraId="4C32A7AF" w14:textId="53E7F41A" w:rsidR="00241A5C" w:rsidRPr="001D3C07" w:rsidRDefault="00241A5C" w:rsidP="009C268C">
      <w:pPr>
        <w:pStyle w:val="ListParagraph"/>
        <w:numPr>
          <w:ilvl w:val="0"/>
          <w:numId w:val="22"/>
        </w:numPr>
        <w:spacing w:line="360" w:lineRule="auto"/>
        <w:ind w:right="1559"/>
        <w:jc w:val="both"/>
        <w:rPr>
          <w:rFonts w:ascii="Arial" w:hAnsi="Arial" w:cs="Arial"/>
          <w:b/>
          <w:bCs/>
          <w:color w:val="000000" w:themeColor="text1"/>
          <w:sz w:val="20"/>
          <w:szCs w:val="20"/>
        </w:rPr>
      </w:pPr>
      <w:r w:rsidRPr="001D3C07">
        <w:rPr>
          <w:rFonts w:ascii="Arial" w:eastAsiaTheme="minorEastAsia" w:hAnsi="Arial" w:cs="Arial" w:hint="eastAsia"/>
          <w:b/>
          <w:bCs/>
          <w:color w:val="000000" w:themeColor="text1"/>
          <w:sz w:val="20"/>
          <w:szCs w:val="20"/>
          <w:lang w:eastAsia="zh-CN"/>
        </w:rPr>
        <w:t xml:space="preserve">HC/AD1/AP Series </w:t>
      </w:r>
      <w:r w:rsidRPr="001D3C07">
        <w:rPr>
          <w:rFonts w:ascii="Arial" w:eastAsiaTheme="minorEastAsia" w:hAnsi="Arial" w:cs="Arial"/>
          <w:b/>
          <w:bCs/>
          <w:color w:val="000000" w:themeColor="text1"/>
          <w:sz w:val="20"/>
          <w:szCs w:val="20"/>
          <w:lang w:eastAsia="zh-CN"/>
        </w:rPr>
        <w:t>–</w:t>
      </w:r>
      <w:r w:rsidRPr="001D3C07">
        <w:rPr>
          <w:rFonts w:ascii="Arial" w:eastAsiaTheme="minorEastAsia" w:hAnsi="Arial" w:cs="Arial" w:hint="eastAsia"/>
          <w:color w:val="000000" w:themeColor="text1"/>
          <w:sz w:val="20"/>
          <w:szCs w:val="20"/>
          <w:lang w:eastAsia="zh-CN"/>
        </w:rPr>
        <w:t xml:space="preserve"> </w:t>
      </w:r>
      <w:r w:rsidRPr="001D3C07">
        <w:rPr>
          <w:rFonts w:ascii="Arial" w:eastAsiaTheme="minorEastAsia" w:hAnsi="Arial" w:cs="Arial" w:hint="eastAsia"/>
          <w:b/>
          <w:bCs/>
          <w:color w:val="000000" w:themeColor="text1"/>
          <w:sz w:val="20"/>
          <w:szCs w:val="20"/>
          <w:lang w:eastAsia="zh-CN"/>
        </w:rPr>
        <w:t xml:space="preserve">Adhesion to </w:t>
      </w:r>
      <w:r w:rsidRPr="001D3C07">
        <w:rPr>
          <w:rFonts w:ascii="Arial" w:eastAsiaTheme="minorEastAsia" w:hAnsi="Arial" w:cs="Arial"/>
          <w:b/>
          <w:bCs/>
          <w:color w:val="000000" w:themeColor="text1"/>
          <w:sz w:val="20"/>
          <w:szCs w:val="20"/>
          <w:lang w:eastAsia="zh-CN"/>
        </w:rPr>
        <w:t>PC, ABS, PC/ABS, ASA, SAN, PET, PETG, and PS</w:t>
      </w:r>
    </w:p>
    <w:p w14:paraId="7926F255" w14:textId="68310AB2" w:rsidR="009C268C" w:rsidRPr="001D3C07" w:rsidRDefault="009C268C" w:rsidP="009C268C">
      <w:pPr>
        <w:pStyle w:val="ListParagraph"/>
        <w:numPr>
          <w:ilvl w:val="0"/>
          <w:numId w:val="22"/>
        </w:numPr>
        <w:spacing w:line="360" w:lineRule="auto"/>
        <w:ind w:right="1559"/>
        <w:jc w:val="both"/>
        <w:rPr>
          <w:rFonts w:ascii="Arial" w:hAnsi="Arial" w:cs="Arial"/>
          <w:color w:val="000000" w:themeColor="text1"/>
          <w:sz w:val="20"/>
          <w:szCs w:val="20"/>
        </w:rPr>
      </w:pPr>
      <w:r w:rsidRPr="001D3C07">
        <w:rPr>
          <w:rFonts w:ascii="Arial" w:hAnsi="Arial" w:cs="Arial"/>
          <w:b/>
          <w:bCs/>
          <w:color w:val="000000" w:themeColor="text1"/>
          <w:sz w:val="20"/>
          <w:szCs w:val="20"/>
        </w:rPr>
        <w:t>Optimized Compression Set:</w:t>
      </w:r>
      <w:r w:rsidRPr="001D3C07">
        <w:rPr>
          <w:rFonts w:ascii="Arial" w:hAnsi="Arial" w:cs="Arial"/>
          <w:color w:val="000000" w:themeColor="text1"/>
          <w:sz w:val="20"/>
          <w:szCs w:val="20"/>
        </w:rPr>
        <w:t xml:space="preserve"> Provid</w:t>
      </w:r>
      <w:r w:rsidR="00AE188F" w:rsidRPr="001D3C07">
        <w:rPr>
          <w:rFonts w:ascii="Arial" w:hAnsi="Arial" w:cs="Arial"/>
          <w:color w:val="000000" w:themeColor="text1"/>
          <w:sz w:val="20"/>
          <w:szCs w:val="20"/>
        </w:rPr>
        <w:t>es</w:t>
      </w:r>
      <w:r w:rsidRPr="001D3C07">
        <w:rPr>
          <w:rFonts w:ascii="Arial" w:hAnsi="Arial" w:cs="Arial"/>
          <w:color w:val="000000" w:themeColor="text1"/>
          <w:sz w:val="20"/>
          <w:szCs w:val="20"/>
        </w:rPr>
        <w:t xml:space="preserve"> long-lasting performance and resilience.</w:t>
      </w:r>
    </w:p>
    <w:p w14:paraId="662B8F41" w14:textId="13241B28" w:rsidR="009C268C" w:rsidRPr="001D3C07" w:rsidRDefault="009C268C" w:rsidP="009C268C">
      <w:pPr>
        <w:pStyle w:val="ListParagraph"/>
        <w:numPr>
          <w:ilvl w:val="0"/>
          <w:numId w:val="22"/>
        </w:numPr>
        <w:spacing w:line="360" w:lineRule="auto"/>
        <w:ind w:right="1559"/>
        <w:jc w:val="both"/>
        <w:rPr>
          <w:rFonts w:ascii="Arial" w:hAnsi="Arial" w:cs="Arial"/>
          <w:color w:val="000000" w:themeColor="text1"/>
          <w:sz w:val="20"/>
          <w:szCs w:val="20"/>
        </w:rPr>
      </w:pPr>
      <w:r w:rsidRPr="001D3C07">
        <w:rPr>
          <w:rFonts w:ascii="Arial" w:hAnsi="Arial" w:cs="Arial"/>
          <w:b/>
          <w:bCs/>
          <w:color w:val="000000" w:themeColor="text1"/>
          <w:sz w:val="20"/>
          <w:szCs w:val="20"/>
        </w:rPr>
        <w:t>Colorable:</w:t>
      </w:r>
      <w:r w:rsidRPr="001D3C07">
        <w:rPr>
          <w:rFonts w:ascii="Arial" w:hAnsi="Arial" w:cs="Arial"/>
          <w:color w:val="000000" w:themeColor="text1"/>
          <w:sz w:val="20"/>
          <w:szCs w:val="20"/>
        </w:rPr>
        <w:t xml:space="preserve"> Allow</w:t>
      </w:r>
      <w:r w:rsidR="00AE188F" w:rsidRPr="001D3C07">
        <w:rPr>
          <w:rFonts w:ascii="Arial" w:hAnsi="Arial" w:cs="Arial"/>
          <w:color w:val="000000" w:themeColor="text1"/>
          <w:sz w:val="20"/>
          <w:szCs w:val="20"/>
        </w:rPr>
        <w:t>s</w:t>
      </w:r>
      <w:r w:rsidRPr="001D3C07">
        <w:rPr>
          <w:rFonts w:ascii="Arial" w:hAnsi="Arial" w:cs="Arial"/>
          <w:color w:val="000000" w:themeColor="text1"/>
          <w:sz w:val="20"/>
          <w:szCs w:val="20"/>
        </w:rPr>
        <w:t xml:space="preserve"> customization to meet design and branding needs.</w:t>
      </w:r>
    </w:p>
    <w:p w14:paraId="30238B81" w14:textId="4B57F0E3" w:rsidR="009C268C" w:rsidRPr="001D3C07" w:rsidRDefault="009C268C" w:rsidP="009C268C">
      <w:pPr>
        <w:pStyle w:val="ListParagraph"/>
        <w:numPr>
          <w:ilvl w:val="0"/>
          <w:numId w:val="22"/>
        </w:numPr>
        <w:spacing w:line="360" w:lineRule="auto"/>
        <w:ind w:right="1559"/>
        <w:jc w:val="both"/>
        <w:rPr>
          <w:rFonts w:ascii="Arial" w:hAnsi="Arial" w:cs="Arial"/>
          <w:color w:val="000000" w:themeColor="text1"/>
          <w:sz w:val="20"/>
          <w:szCs w:val="20"/>
        </w:rPr>
      </w:pPr>
      <w:r w:rsidRPr="001D3C07">
        <w:rPr>
          <w:rFonts w:ascii="Arial" w:hAnsi="Arial" w:cs="Arial"/>
          <w:b/>
          <w:bCs/>
          <w:color w:val="000000" w:themeColor="text1"/>
          <w:sz w:val="20"/>
          <w:szCs w:val="20"/>
        </w:rPr>
        <w:t>Sterilizable:</w:t>
      </w:r>
      <w:r w:rsidRPr="001D3C07">
        <w:rPr>
          <w:rFonts w:ascii="Arial" w:hAnsi="Arial" w:cs="Arial"/>
          <w:color w:val="000000" w:themeColor="text1"/>
          <w:sz w:val="20"/>
          <w:szCs w:val="20"/>
        </w:rPr>
        <w:t xml:space="preserve"> Compatible with autoclave (121°C) and EtO sterilization processes</w:t>
      </w:r>
      <w:r w:rsidR="00AE188F" w:rsidRPr="001D3C07">
        <w:rPr>
          <w:rFonts w:ascii="Arial" w:hAnsi="Arial" w:cs="Arial"/>
          <w:color w:val="000000" w:themeColor="text1"/>
          <w:sz w:val="20"/>
          <w:szCs w:val="20"/>
        </w:rPr>
        <w:t xml:space="preserve"> to</w:t>
      </w:r>
      <w:r w:rsidRPr="001D3C07">
        <w:rPr>
          <w:rFonts w:ascii="Arial" w:hAnsi="Arial" w:cs="Arial"/>
          <w:color w:val="000000" w:themeColor="text1"/>
          <w:sz w:val="20"/>
          <w:szCs w:val="20"/>
        </w:rPr>
        <w:t xml:space="preserve"> maintain</w:t>
      </w:r>
      <w:r w:rsidR="00AE188F" w:rsidRPr="001D3C07">
        <w:rPr>
          <w:rFonts w:ascii="Arial" w:hAnsi="Arial" w:cs="Arial"/>
          <w:color w:val="000000" w:themeColor="text1"/>
          <w:sz w:val="20"/>
          <w:szCs w:val="20"/>
        </w:rPr>
        <w:t xml:space="preserve"> </w:t>
      </w:r>
      <w:r w:rsidRPr="001D3C07">
        <w:rPr>
          <w:rFonts w:ascii="Arial" w:hAnsi="Arial" w:cs="Arial"/>
          <w:color w:val="000000" w:themeColor="text1"/>
          <w:sz w:val="20"/>
          <w:szCs w:val="20"/>
        </w:rPr>
        <w:t>hygiene standards.</w:t>
      </w:r>
    </w:p>
    <w:p w14:paraId="5EAB9400" w14:textId="6B29D27D" w:rsidR="009C268C" w:rsidRPr="001D3C07" w:rsidRDefault="009C268C" w:rsidP="009C268C">
      <w:pPr>
        <w:pStyle w:val="ListParagraph"/>
        <w:numPr>
          <w:ilvl w:val="0"/>
          <w:numId w:val="22"/>
        </w:numPr>
        <w:spacing w:line="360" w:lineRule="auto"/>
        <w:ind w:right="1559"/>
        <w:jc w:val="both"/>
        <w:rPr>
          <w:rFonts w:ascii="Arial" w:hAnsi="Arial" w:cs="Arial"/>
          <w:color w:val="000000" w:themeColor="text1"/>
          <w:sz w:val="20"/>
          <w:szCs w:val="20"/>
        </w:rPr>
      </w:pPr>
      <w:r w:rsidRPr="001D3C07">
        <w:rPr>
          <w:rFonts w:ascii="Arial" w:hAnsi="Arial" w:cs="Arial"/>
          <w:b/>
          <w:bCs/>
          <w:color w:val="000000" w:themeColor="text1"/>
          <w:sz w:val="20"/>
          <w:szCs w:val="20"/>
        </w:rPr>
        <w:lastRenderedPageBreak/>
        <w:t>Free from Animal Ingredients:</w:t>
      </w:r>
      <w:r w:rsidRPr="001D3C07">
        <w:rPr>
          <w:rFonts w:ascii="Arial" w:hAnsi="Arial" w:cs="Arial"/>
          <w:color w:val="000000" w:themeColor="text1"/>
          <w:sz w:val="20"/>
          <w:szCs w:val="20"/>
        </w:rPr>
        <w:t xml:space="preserve"> Ensur</w:t>
      </w:r>
      <w:r w:rsidR="00AE188F" w:rsidRPr="001D3C07">
        <w:rPr>
          <w:rFonts w:ascii="Arial" w:hAnsi="Arial" w:cs="Arial"/>
          <w:color w:val="000000" w:themeColor="text1"/>
          <w:sz w:val="20"/>
          <w:szCs w:val="20"/>
        </w:rPr>
        <w:t>es</w:t>
      </w:r>
      <w:r w:rsidRPr="001D3C07">
        <w:rPr>
          <w:rFonts w:ascii="Arial" w:hAnsi="Arial" w:cs="Arial"/>
          <w:color w:val="000000" w:themeColor="text1"/>
          <w:sz w:val="20"/>
          <w:szCs w:val="20"/>
        </w:rPr>
        <w:t xml:space="preserve"> safety and compliance with medical and ethical standards.</w:t>
      </w:r>
    </w:p>
    <w:p w14:paraId="7759B06B" w14:textId="1A507792" w:rsidR="009C268C" w:rsidRPr="00443E7D" w:rsidRDefault="001D3C07" w:rsidP="009C268C">
      <w:pPr>
        <w:pStyle w:val="ListParagraph"/>
        <w:numPr>
          <w:ilvl w:val="0"/>
          <w:numId w:val="22"/>
        </w:numPr>
        <w:spacing w:line="360" w:lineRule="auto"/>
        <w:ind w:right="1559"/>
        <w:jc w:val="both"/>
        <w:rPr>
          <w:rFonts w:ascii="Arial" w:hAnsi="Arial" w:cs="Arial"/>
          <w:color w:val="000000" w:themeColor="text1"/>
          <w:sz w:val="20"/>
          <w:szCs w:val="20"/>
        </w:rPr>
      </w:pPr>
      <w:hyperlink r:id="rId13" w:history="1">
        <w:r w:rsidR="009C268C" w:rsidRPr="001D3C07">
          <w:rPr>
            <w:rStyle w:val="Hyperlink"/>
            <w:rFonts w:ascii="Arial" w:hAnsi="Arial" w:cs="Arial"/>
            <w:b/>
            <w:bCs/>
            <w:sz w:val="20"/>
            <w:szCs w:val="20"/>
          </w:rPr>
          <w:t>Regulatory Compliance</w:t>
        </w:r>
      </w:hyperlink>
      <w:r w:rsidR="009C268C" w:rsidRPr="001D3C07">
        <w:rPr>
          <w:rFonts w:ascii="Arial" w:hAnsi="Arial" w:cs="Arial"/>
          <w:b/>
          <w:bCs/>
          <w:color w:val="000000" w:themeColor="text1"/>
          <w:sz w:val="20"/>
          <w:szCs w:val="20"/>
        </w:rPr>
        <w:t>:</w:t>
      </w:r>
      <w:r w:rsidR="009C268C" w:rsidRPr="001D3C07">
        <w:rPr>
          <w:rFonts w:ascii="Arial" w:hAnsi="Arial" w:cs="Arial"/>
          <w:color w:val="000000" w:themeColor="text1"/>
          <w:sz w:val="20"/>
          <w:szCs w:val="20"/>
        </w:rPr>
        <w:t xml:space="preserve"> Meets</w:t>
      </w:r>
      <w:r w:rsidR="009C268C" w:rsidRPr="00443E7D">
        <w:rPr>
          <w:rFonts w:ascii="Arial" w:hAnsi="Arial" w:cs="Arial"/>
          <w:color w:val="000000" w:themeColor="text1"/>
          <w:sz w:val="20"/>
          <w:szCs w:val="20"/>
        </w:rPr>
        <w:t xml:space="preserve"> Regulation (EU) No 10/2011, US FDA CFR 21, China GB4806-2016, ISO 10993-5 (Cytotoxicity), and GB/T 16886.5 Cytotoxicity requirements.</w:t>
      </w:r>
    </w:p>
    <w:p w14:paraId="18E21B80" w14:textId="6E481DFB" w:rsidR="009C268C" w:rsidRPr="001D3C07" w:rsidRDefault="009C268C" w:rsidP="001D3C07">
      <w:pPr>
        <w:pStyle w:val="ListParagraph"/>
        <w:numPr>
          <w:ilvl w:val="0"/>
          <w:numId w:val="22"/>
        </w:numPr>
        <w:spacing w:line="360" w:lineRule="auto"/>
        <w:ind w:right="1559"/>
        <w:jc w:val="both"/>
        <w:rPr>
          <w:rFonts w:ascii="Arial" w:hAnsi="Arial" w:cs="Arial" w:hint="eastAsia"/>
          <w:color w:val="000000" w:themeColor="text1"/>
          <w:sz w:val="20"/>
          <w:szCs w:val="20"/>
        </w:rPr>
      </w:pPr>
      <w:r w:rsidRPr="00443E7D">
        <w:rPr>
          <w:rFonts w:ascii="Arial" w:hAnsi="Arial" w:cs="Arial"/>
          <w:b/>
          <w:bCs/>
          <w:color w:val="000000" w:themeColor="text1"/>
          <w:sz w:val="20"/>
          <w:szCs w:val="20"/>
        </w:rPr>
        <w:t>Processing Methods:</w:t>
      </w:r>
      <w:r w:rsidRPr="00443E7D">
        <w:rPr>
          <w:rFonts w:ascii="Arial" w:hAnsi="Arial" w:cs="Arial"/>
          <w:color w:val="000000" w:themeColor="text1"/>
          <w:sz w:val="20"/>
          <w:szCs w:val="20"/>
        </w:rPr>
        <w:t xml:space="preserve"> </w:t>
      </w:r>
      <w:r w:rsidR="00AE188F" w:rsidRPr="00443E7D">
        <w:rPr>
          <w:rFonts w:ascii="Arial" w:hAnsi="Arial" w:cs="Arial"/>
          <w:color w:val="000000" w:themeColor="text1"/>
          <w:sz w:val="20"/>
          <w:szCs w:val="20"/>
        </w:rPr>
        <w:t>Ideal</w:t>
      </w:r>
      <w:r w:rsidRPr="00443E7D">
        <w:rPr>
          <w:rFonts w:ascii="Arial" w:hAnsi="Arial" w:cs="Arial"/>
          <w:color w:val="000000" w:themeColor="text1"/>
          <w:sz w:val="20"/>
          <w:szCs w:val="20"/>
        </w:rPr>
        <w:t xml:space="preserve"> for injection molding and extrusion.</w:t>
      </w:r>
    </w:p>
    <w:p w14:paraId="62F08EF9" w14:textId="475EE9D1" w:rsidR="005320D5" w:rsidRPr="0006085F" w:rsidRDefault="00CB7D0C" w:rsidP="00CB7D0C">
      <w:pPr>
        <w:tabs>
          <w:tab w:val="left" w:pos="6804"/>
        </w:tabs>
        <w:spacing w:line="360" w:lineRule="auto"/>
        <w:ind w:right="1559"/>
        <w:rPr>
          <w:rFonts w:ascii="Arial" w:hAnsi="Arial" w:cs="Arial"/>
          <w:sz w:val="20"/>
          <w:szCs w:val="20"/>
        </w:rPr>
      </w:pPr>
      <w:r>
        <w:rPr>
          <w:noProof/>
        </w:rPr>
        <w:drawing>
          <wp:inline distT="0" distB="0" distL="0" distR="0" wp14:anchorId="04E60E75" wp14:editId="443E80D9">
            <wp:extent cx="4232345" cy="2343150"/>
            <wp:effectExtent l="0" t="0" r="0" b="0"/>
            <wp:docPr id="1573441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5056" cy="2350187"/>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6E0789"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6E0789"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lastRenderedPageBreak/>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56C657BF"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78541C">
        <w:rPr>
          <w:rFonts w:ascii="Arial" w:hAnsi="Arial" w:cs="Arial"/>
          <w:sz w:val="20"/>
          <w:szCs w:val="20"/>
        </w:rPr>
        <w:t>tailored</w:t>
      </w:r>
      <w:r w:rsidRPr="003E4160">
        <w:rPr>
          <w:rFonts w:ascii="Arial" w:hAnsi="Arial" w:cs="Arial"/>
          <w:sz w:val="20"/>
          <w:szCs w:val="20"/>
        </w:rPr>
        <w:t xml:space="preserv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624219">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822FB" w14:textId="77777777" w:rsidR="004A4C3B" w:rsidRDefault="004A4C3B" w:rsidP="00784C57">
      <w:pPr>
        <w:spacing w:after="0" w:line="240" w:lineRule="auto"/>
      </w:pPr>
      <w:r>
        <w:separator/>
      </w:r>
    </w:p>
  </w:endnote>
  <w:endnote w:type="continuationSeparator" w:id="0">
    <w:p w14:paraId="7CC8F28F" w14:textId="77777777" w:rsidR="004A4C3B" w:rsidRDefault="004A4C3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E0789"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E0789"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A4C3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A4C3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5EB27" w14:textId="77777777" w:rsidR="004A4C3B" w:rsidRDefault="004A4C3B" w:rsidP="00784C57">
      <w:pPr>
        <w:spacing w:after="0" w:line="240" w:lineRule="auto"/>
      </w:pPr>
      <w:r>
        <w:separator/>
      </w:r>
    </w:p>
  </w:footnote>
  <w:footnote w:type="continuationSeparator" w:id="0">
    <w:p w14:paraId="129B5CEF" w14:textId="77777777" w:rsidR="004A4C3B" w:rsidRDefault="004A4C3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AD835B3" w14:textId="77777777" w:rsidR="001B45E1" w:rsidRDefault="001B45E1" w:rsidP="001B45E1">
          <w:pPr>
            <w:spacing w:after="0" w:line="360" w:lineRule="auto"/>
            <w:ind w:left="-105"/>
            <w:jc w:val="both"/>
            <w:rPr>
              <w:rFonts w:ascii="Arial" w:hAnsi="Arial" w:cs="Arial"/>
              <w:b/>
              <w:bCs/>
              <w:sz w:val="16"/>
              <w:szCs w:val="16"/>
            </w:rPr>
          </w:pPr>
          <w:r w:rsidRPr="001B45E1">
            <w:rPr>
              <w:rFonts w:ascii="Arial" w:hAnsi="Arial" w:cs="Arial"/>
              <w:b/>
              <w:bCs/>
              <w:sz w:val="16"/>
              <w:szCs w:val="16"/>
            </w:rPr>
            <w:t>KRAIBURG TPE Unveils Forward-Looking TPE Materials for Eye Glass Protectors</w:t>
          </w:r>
        </w:p>
        <w:p w14:paraId="03911608" w14:textId="77777777" w:rsidR="001B45E1" w:rsidRPr="00D87909" w:rsidRDefault="001B45E1" w:rsidP="001B45E1">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hint="eastAsia"/>
              <w:b/>
              <w:sz w:val="16"/>
              <w:szCs w:val="16"/>
              <w:lang w:eastAsia="zh-CN"/>
            </w:rPr>
            <w:t xml:space="preserve"> September </w:t>
          </w:r>
          <w:r>
            <w:rPr>
              <w:rFonts w:ascii="Arial" w:hAnsi="Arial"/>
              <w:b/>
              <w:sz w:val="16"/>
              <w:szCs w:val="16"/>
            </w:rPr>
            <w:t>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D6B8243" w14:textId="77777777" w:rsidR="001B45E1" w:rsidRDefault="001B45E1" w:rsidP="00D87909">
          <w:pPr>
            <w:spacing w:after="0" w:line="360" w:lineRule="auto"/>
            <w:ind w:left="-105"/>
            <w:jc w:val="both"/>
            <w:rPr>
              <w:rFonts w:ascii="Arial" w:hAnsi="Arial" w:cs="Arial"/>
              <w:b/>
              <w:bCs/>
              <w:sz w:val="16"/>
              <w:szCs w:val="16"/>
            </w:rPr>
          </w:pPr>
          <w:r w:rsidRPr="001B45E1">
            <w:rPr>
              <w:rFonts w:ascii="Arial" w:hAnsi="Arial" w:cs="Arial"/>
              <w:b/>
              <w:bCs/>
              <w:sz w:val="16"/>
              <w:szCs w:val="16"/>
            </w:rPr>
            <w:t>KRAIBURG TPE Unveils Forward-Looking TPE Materials for Eye Glass Protectors</w:t>
          </w:r>
        </w:p>
        <w:p w14:paraId="765F9503" w14:textId="16336A4F" w:rsidR="003C4170" w:rsidRPr="00D87909" w:rsidRDefault="003C4170" w:rsidP="00D8790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sidR="009C268C">
            <w:rPr>
              <w:rFonts w:ascii="Arial" w:hAnsi="Arial" w:hint="eastAsia"/>
              <w:b/>
              <w:sz w:val="16"/>
              <w:szCs w:val="16"/>
              <w:lang w:eastAsia="zh-CN"/>
            </w:rPr>
            <w:t xml:space="preserve"> </w:t>
          </w:r>
          <w:r w:rsidR="001B45E1">
            <w:rPr>
              <w:rFonts w:ascii="Arial" w:hAnsi="Arial" w:hint="eastAsia"/>
              <w:b/>
              <w:sz w:val="16"/>
              <w:szCs w:val="16"/>
              <w:lang w:eastAsia="zh-CN"/>
            </w:rPr>
            <w:t xml:space="preserve">September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2C208EC"/>
    <w:multiLevelType w:val="hybridMultilevel"/>
    <w:tmpl w:val="E220A5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0"/>
  </w:num>
  <w:num w:numId="5" w16cid:durableId="36393177">
    <w:abstractNumId w:val="14"/>
  </w:num>
  <w:num w:numId="6" w16cid:durableId="430276158">
    <w:abstractNumId w:val="18"/>
  </w:num>
  <w:num w:numId="7" w16cid:durableId="2015523692">
    <w:abstractNumId w:val="7"/>
  </w:num>
  <w:num w:numId="8" w16cid:durableId="267857598">
    <w:abstractNumId w:val="19"/>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5"/>
  </w:num>
  <w:num w:numId="21" w16cid:durableId="82142575">
    <w:abstractNumId w:val="3"/>
  </w:num>
  <w:num w:numId="22" w16cid:durableId="20562707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1FE7"/>
    <w:rsid w:val="00041B77"/>
    <w:rsid w:val="0004695A"/>
    <w:rsid w:val="00047CA0"/>
    <w:rsid w:val="000521D5"/>
    <w:rsid w:val="00055A30"/>
    <w:rsid w:val="0005754C"/>
    <w:rsid w:val="00057785"/>
    <w:rsid w:val="0006085F"/>
    <w:rsid w:val="00065A69"/>
    <w:rsid w:val="00071236"/>
    <w:rsid w:val="00073D11"/>
    <w:rsid w:val="000759E8"/>
    <w:rsid w:val="00077E64"/>
    <w:rsid w:val="000829C6"/>
    <w:rsid w:val="00082E1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E50B6"/>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B45E1"/>
    <w:rsid w:val="001C2242"/>
    <w:rsid w:val="001C311C"/>
    <w:rsid w:val="001C4EAE"/>
    <w:rsid w:val="001C701E"/>
    <w:rsid w:val="001C7821"/>
    <w:rsid w:val="001C787B"/>
    <w:rsid w:val="001D003B"/>
    <w:rsid w:val="001D04BB"/>
    <w:rsid w:val="001D3C07"/>
    <w:rsid w:val="001D41F8"/>
    <w:rsid w:val="001D4BAD"/>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0178"/>
    <w:rsid w:val="00241A5C"/>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E73A3"/>
    <w:rsid w:val="002F0930"/>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71E2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3E7D"/>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4C3B"/>
    <w:rsid w:val="004A62E0"/>
    <w:rsid w:val="004A6454"/>
    <w:rsid w:val="004B0469"/>
    <w:rsid w:val="004B75FE"/>
    <w:rsid w:val="004C1164"/>
    <w:rsid w:val="004C3A08"/>
    <w:rsid w:val="004C3B90"/>
    <w:rsid w:val="004C3CCB"/>
    <w:rsid w:val="004C6BE6"/>
    <w:rsid w:val="004C6E24"/>
    <w:rsid w:val="004D5BAF"/>
    <w:rsid w:val="004D67D4"/>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4FA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767"/>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32F8"/>
    <w:rsid w:val="006A6A86"/>
    <w:rsid w:val="006B0D90"/>
    <w:rsid w:val="006B1DAF"/>
    <w:rsid w:val="006B33D8"/>
    <w:rsid w:val="006B391A"/>
    <w:rsid w:val="006B3FA8"/>
    <w:rsid w:val="006B668E"/>
    <w:rsid w:val="006C178C"/>
    <w:rsid w:val="006C36A0"/>
    <w:rsid w:val="006C3919"/>
    <w:rsid w:val="006C4263"/>
    <w:rsid w:val="006C48AD"/>
    <w:rsid w:val="006C56CC"/>
    <w:rsid w:val="006D0902"/>
    <w:rsid w:val="006D238F"/>
    <w:rsid w:val="006D333F"/>
    <w:rsid w:val="006D57B4"/>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2513"/>
    <w:rsid w:val="0077610C"/>
    <w:rsid w:val="00781978"/>
    <w:rsid w:val="0078239C"/>
    <w:rsid w:val="007831E2"/>
    <w:rsid w:val="00784C57"/>
    <w:rsid w:val="0078541C"/>
    <w:rsid w:val="00785F5E"/>
    <w:rsid w:val="00786798"/>
    <w:rsid w:val="007935B6"/>
    <w:rsid w:val="00793BF4"/>
    <w:rsid w:val="00796E8F"/>
    <w:rsid w:val="007974C7"/>
    <w:rsid w:val="007A568B"/>
    <w:rsid w:val="007A5BF6"/>
    <w:rsid w:val="007A7755"/>
    <w:rsid w:val="007B1D9F"/>
    <w:rsid w:val="007B21F8"/>
    <w:rsid w:val="007B35DB"/>
    <w:rsid w:val="007B3E50"/>
    <w:rsid w:val="007B4C2D"/>
    <w:rsid w:val="007B730E"/>
    <w:rsid w:val="007C378A"/>
    <w:rsid w:val="007C4364"/>
    <w:rsid w:val="007C5889"/>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5958"/>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0F30"/>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06"/>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268C"/>
    <w:rsid w:val="009C48F1"/>
    <w:rsid w:val="009C4A0E"/>
    <w:rsid w:val="009C71C3"/>
    <w:rsid w:val="009D2688"/>
    <w:rsid w:val="009D61E9"/>
    <w:rsid w:val="009D70E1"/>
    <w:rsid w:val="009D76BB"/>
    <w:rsid w:val="009E74A0"/>
    <w:rsid w:val="009F499B"/>
    <w:rsid w:val="009F619F"/>
    <w:rsid w:val="009F61CE"/>
    <w:rsid w:val="00A034FB"/>
    <w:rsid w:val="00A0563F"/>
    <w:rsid w:val="00A24399"/>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188F"/>
    <w:rsid w:val="00AE25EB"/>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55B2"/>
    <w:rsid w:val="00CA7190"/>
    <w:rsid w:val="00CB0F0F"/>
    <w:rsid w:val="00CB3B01"/>
    <w:rsid w:val="00CB463C"/>
    <w:rsid w:val="00CB5C4A"/>
    <w:rsid w:val="00CB7D0C"/>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36"/>
    <w:rsid w:val="00D13AE1"/>
    <w:rsid w:val="00D14EDD"/>
    <w:rsid w:val="00D14F71"/>
    <w:rsid w:val="00D2192F"/>
    <w:rsid w:val="00D2377C"/>
    <w:rsid w:val="00D238FD"/>
    <w:rsid w:val="00D253ED"/>
    <w:rsid w:val="00D3074B"/>
    <w:rsid w:val="00D34D49"/>
    <w:rsid w:val="00D35D04"/>
    <w:rsid w:val="00D35D72"/>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360F"/>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1AF1"/>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empowering-surgical-instruments-advanced-tpe-technolog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8d3818be-6f21-4c29-ab13-78e30dc982d3"/>
    <ds:schemaRef ds:uri="b0aac98f-77e3-488e-b1d0-e526279ba76f"/>
    <ds:schemaRef ds:uri="http://purl.org/dc/terms/"/>
    <ds:schemaRef ds:uri="http://schemas.microsoft.com/office/infopath/2007/PartnerControls"/>
    <ds:schemaRef ds:uri="http://schemas.openxmlformats.org/package/2006/metadata/core-properties"/>
    <ds:schemaRef ds:uri="http://purl.org/dc/dcmitype/"/>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3033</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2024-05-30T08:06:00Z</dcterms:created>
  <dcterms:modified xsi:type="dcterms:W3CDTF">2024-08-27T08:58:00Z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